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26C10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3B3853C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val="bg-BG"/>
        </w:rPr>
      </w:pPr>
    </w:p>
    <w:p w14:paraId="7AF34C23" w14:textId="77777777" w:rsidR="00524454" w:rsidRPr="00131A47" w:rsidRDefault="00524454" w:rsidP="00524454">
      <w:pPr>
        <w:keepNext/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overflowPunct w:val="0"/>
        <w:autoSpaceDE w:val="0"/>
        <w:autoSpaceDN w:val="0"/>
        <w:adjustRightInd w:val="0"/>
        <w:spacing w:before="240" w:after="6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152490271"/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bg-BG" w:eastAsia="bg-BG"/>
        </w:rPr>
        <w:drawing>
          <wp:anchor distT="0" distB="0" distL="114300" distR="114300" simplePos="0" relativeHeight="251660288" behindDoc="0" locked="0" layoutInCell="1" allowOverlap="1" wp14:anchorId="716E02B7" wp14:editId="246B0F9B">
            <wp:simplePos x="0" y="0"/>
            <wp:positionH relativeFrom="column">
              <wp:posOffset>4800600</wp:posOffset>
            </wp:positionH>
            <wp:positionV relativeFrom="paragraph">
              <wp:posOffset>87630</wp:posOffset>
            </wp:positionV>
            <wp:extent cx="1257300" cy="10134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A428127" wp14:editId="246198D3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1371600" cy="914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131A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bg-BG" w:eastAsia="bg-BG"/>
        </w:rPr>
        <w:drawing>
          <wp:inline distT="0" distB="0" distL="0" distR="0" wp14:anchorId="4F30A075" wp14:editId="17887F20">
            <wp:extent cx="1648460" cy="6699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</w:t>
      </w:r>
    </w:p>
    <w:p w14:paraId="62BCE029" w14:textId="77777777" w:rsidR="00524454" w:rsidRPr="00131A47" w:rsidRDefault="00524454" w:rsidP="00524454">
      <w:pPr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F07212" w14:textId="77777777" w:rsidR="00524454" w:rsidRPr="00131A47" w:rsidRDefault="00524454" w:rsidP="00524454">
      <w:pPr>
        <w:spacing w:after="160" w:line="240" w:lineRule="auto"/>
        <w:ind w:left="7788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5D54C29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17BA724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66BEE096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3BACFAE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70BE235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95EDEB4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УСЛОВИЯ ЗА ИЗПЪЛНЕНИЕ </w:t>
      </w:r>
    </w:p>
    <w:p w14:paraId="5792836B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2AC88C85" w14:textId="0D5B7122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НА БЮДЖЕТНИ ЛИНИИ ПО МЯРКА 20 „ТЕХНИЧЕСКА ПОМОЩ“ 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ОТ </w:t>
      </w: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>ПРОГРАМА ЗА РАЗВИТИЕ НА СЕЛСКИТЕ РАЙОНИ ЗА ПЕРИОДА 2014-2020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г.</w:t>
      </w:r>
      <w:r w:rsidR="007345FF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(ПРСР 2014 – 2020 г.)</w:t>
      </w:r>
    </w:p>
    <w:p w14:paraId="6AC38C5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AEB4D54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0026F0C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86B0FFA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E50C3E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B779BAE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69C2F3C" w14:textId="77777777" w:rsidR="00524454" w:rsidRPr="00131A47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31A47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Европейският земеделски фонд за развитие на селските райони</w:t>
      </w:r>
    </w:p>
    <w:p w14:paraId="40CD0682" w14:textId="77777777" w:rsidR="00524454" w:rsidRPr="00131A47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31A47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Европа инвестира в селските райони</w:t>
      </w:r>
    </w:p>
    <w:p w14:paraId="147F90C8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7CE1FD2D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04BAB437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09A0680B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9C41B1A" w14:textId="77777777" w:rsidR="00524454" w:rsidRPr="00131A47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1" w:name="_Toc504657805"/>
      <w:r w:rsidRPr="00131A47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t>А. Финансово изпълнение на проектите и плащане: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131A47" w14:paraId="132C0C5B" w14:textId="77777777" w:rsidTr="0011572A">
        <w:tc>
          <w:tcPr>
            <w:tcW w:w="9212" w:type="dxa"/>
            <w:shd w:val="clear" w:color="auto" w:fill="auto"/>
          </w:tcPr>
          <w:p w14:paraId="23509BA0" w14:textId="77777777" w:rsidR="00524454" w:rsidRPr="00131A47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highlight w:val="yellow"/>
                <w:lang w:val="bg-BG" w:eastAsia="bg-BG"/>
              </w:rPr>
            </w:pPr>
            <w:bookmarkStart w:id="2" w:name="_Toc256000087"/>
          </w:p>
          <w:p w14:paraId="666F012B" w14:textId="63B3268A" w:rsidR="00524454" w:rsidRPr="00131A47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Финансовата помощ се изплаща от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Държавен фонд „Земеделие“ – Разплащателна агенция (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  РА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след извършване на цялата подпомагана дейност. Финансовата помощ може да се извършва и чрез междинни плащания за одобрена обособена част от подпомаганата дейност, след като бъде извършена и приета по съответния ред, когато естеството на дейността позволява и това е предвидено в договора за изпълнение и заявлението за кандидатстване. </w:t>
            </w:r>
          </w:p>
          <w:p w14:paraId="4B8CC9BA" w14:textId="77777777" w:rsidR="00524454" w:rsidRPr="00131A47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Междинни плащания са допустими: </w:t>
            </w:r>
          </w:p>
          <w:p w14:paraId="7323CF1E" w14:textId="77777777" w:rsidR="00524454" w:rsidRPr="00131A47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три пъти за периода на изпълнение на дейностите: </w:t>
            </w:r>
          </w:p>
          <w:p w14:paraId="3FCD96FA" w14:textId="6ADA5E70" w:rsidR="00524454" w:rsidRPr="00131A47" w:rsidRDefault="00524454" w:rsidP="00AD1A98">
            <w:pPr>
              <w:pStyle w:val="ListParagraph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които се изпълняват по реда на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Закона за обществените поръчки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4D25D002" w14:textId="7C88B83E" w:rsidR="00524454" w:rsidRPr="00131A47" w:rsidRDefault="00524454" w:rsidP="00AD1A98">
            <w:pPr>
              <w:pStyle w:val="ListParagraph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дейности, за които е необходимо използване на услуги на физически и/или юридически лица, се сключват договори за изпълнение на съответната услуга между Министерството на земеделието, храните и горите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(МЗХГ)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  РА, и физическите/юридическите лица; преди сключването на договорите от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МЗХГ или ДФЗ - РА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 те се предоставят за съгласуване съгласно установения в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МЗХГ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или ДФЗ - РА, вътрешен ред; </w:t>
            </w:r>
          </w:p>
          <w:p w14:paraId="3EA9B8BD" w14:textId="77777777" w:rsidR="00524454" w:rsidRPr="00131A47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5 пъти за договори с период на изпълнение над една година; </w:t>
            </w:r>
          </w:p>
          <w:p w14:paraId="1021069A" w14:textId="77777777" w:rsidR="00524454" w:rsidRPr="00131A47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  <w:t> 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ежемесечно за дейностите: </w:t>
            </w:r>
          </w:p>
          <w:p w14:paraId="5E06F08D" w14:textId="77777777" w:rsidR="00524454" w:rsidRPr="00131A47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командироване в страната и/или в чужбина в областта на развитието на селските райони; </w:t>
            </w:r>
          </w:p>
          <w:p w14:paraId="4B472A50" w14:textId="72294641" w:rsidR="00524454" w:rsidRPr="00131A47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основни месечни заплати, дължимите данъци, осигуровки, обезщетения и възнаграждения за платен отпуск на щатния персонал на ДФЗ - РА и МЗХГ, изпълняващи функции, пряко свързани с управлението (в т. ч. управлението на прилагането на ПРСР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2014 – 2020 г.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в Централно управление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(ЦУ)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на ДФЗ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- РА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), наблюдението, оценката и контрола на ПРСР 2014 - 2020 г.; </w:t>
            </w:r>
          </w:p>
          <w:p w14:paraId="042F17C8" w14:textId="77777777" w:rsidR="00524454" w:rsidRPr="00131A47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участие в комисии за определяне на изпълнител на обществени поръчки за доставки или услуги, както и комисии за оценка и избор на проекти, се прилага създадената вътрешноведомствена организация в МЗХГ, съответно в ДФЗ – РА;</w:t>
            </w:r>
          </w:p>
          <w:p w14:paraId="1DB00988" w14:textId="40F1CD24" w:rsidR="00524454" w:rsidRPr="00131A47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щатния персонал на ДФЗ - РА и МЗХГ, изпълняващи функции, пряко свързани с управлението (в т.ч. управлението на прилагането на ПРСР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 ЦУ на ДФЗ), наблюдението, оценката и контрола на ПРСР 2014 - 2020 г., се изплаща до четири пъти годишно при условията и по реда на вътрешните правила за заплатите в МЗХГ или ДФЗ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- РА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056A70E4" w14:textId="77777777" w:rsidR="00AD1A98" w:rsidRPr="00131A47" w:rsidRDefault="00AD1A98" w:rsidP="00AD1A9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5F797D12" w14:textId="38542F48" w:rsidR="00524454" w:rsidRPr="00131A47" w:rsidRDefault="00524454" w:rsidP="00AD1A9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разходите за възнаграждения, вкл. дължимите данъци, осигуровки, обезщетения и платен отпуск на допълнителен персонал, необходим с оглед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увеличаване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капацитета на администрацията, ангажирана в управлението, изпълнението, контрола, наблюдението и оценката на ПРСР 2014 - 2020 г. към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Управляващия орган на ПРСР 2014 – 2020 г. (УО)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и ДФЗ - РА, се изплащат ежемесечно.</w:t>
            </w:r>
          </w:p>
          <w:p w14:paraId="52BFF5C0" w14:textId="77777777" w:rsidR="00524454" w:rsidRPr="00131A47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2943BB44" w14:textId="10A6C23D" w:rsidR="00524454" w:rsidRPr="00131A47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Плащания на разходи на бенефициентите по мярка 20 „Техническа помощ“ на ПРСР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се извършват  от Дирекция „Финансова“ към </w:t>
            </w:r>
            <w:r w:rsidR="007345FF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 - РА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. </w:t>
            </w:r>
          </w:p>
          <w:p w14:paraId="2673E47D" w14:textId="77777777" w:rsidR="00524454" w:rsidRPr="00131A47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trike/>
                <w:sz w:val="24"/>
                <w:lang w:val="bg-BG" w:eastAsia="en-GB"/>
              </w:rPr>
            </w:pPr>
          </w:p>
          <w:p w14:paraId="47115F82" w14:textId="1E5789B1" w:rsidR="00524454" w:rsidRPr="00131A47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  <w:r w:rsidRPr="00131A47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В случай на дейности,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за които е предвидено да се изпълняват по реда на ЗОП</w:t>
            </w:r>
            <w:r w:rsidRPr="00131A47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131A47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lastRenderedPageBreak/>
              <w:t xml:space="preserve">бенефициентът (УО на ПРСР/ДФ „Земеделие“) или упълномощено от него длъжностно лице, подава </w:t>
            </w:r>
            <w:r w:rsidR="00EC3C72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искане за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междинно и/или окончателно плащане, ведно с  междинни и/или окончателни технически и финансови отчети и всички приложими документи съгласно Приложение 1, в срок </w:t>
            </w:r>
            <w:r w:rsidRPr="00131A47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не по-късно от </w:t>
            </w:r>
            <w:r w:rsidRPr="00131A47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 xml:space="preserve">25 </w:t>
            </w:r>
            <w:r w:rsidRPr="00131A47">
              <w:rPr>
                <w:rFonts w:ascii="TimesNewRomanUnicode" w:eastAsia="Times New Roman" w:hAnsi="TimesNewRomanUnicode" w:cs="TimesNewRomanUnicode"/>
                <w:b/>
                <w:sz w:val="24"/>
                <w:lang w:val="bg-BG" w:eastAsia="en-GB"/>
              </w:rPr>
              <w:t>работни дни</w:t>
            </w:r>
            <w:r w:rsidRPr="00131A47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след датата на </w:t>
            </w:r>
            <w:r w:rsidR="00FF4815" w:rsidRPr="00131A47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приемо-предавателния протокол за </w:t>
            </w:r>
            <w:r w:rsidRPr="00131A47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одобрение на изпълнението на цялата дейност или на част от нея.</w:t>
            </w:r>
          </w:p>
          <w:p w14:paraId="0089DEBD" w14:textId="77777777" w:rsidR="004D343E" w:rsidRPr="00131A47" w:rsidRDefault="004D343E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</w:p>
          <w:p w14:paraId="4432AA56" w14:textId="17A15DDD" w:rsidR="00AD1A98" w:rsidRPr="00131A47" w:rsidRDefault="00524454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Искането за плащане за дейности, за които не е предвидено да се изпълняват по реда на ЗОП, се подава от </w:t>
            </w:r>
            <w:r w:rsidRPr="00131A47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>1-во до 15-о число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 съответния месец. </w:t>
            </w:r>
          </w:p>
          <w:p w14:paraId="249A966B" w14:textId="08641DA6" w:rsidR="0067002C" w:rsidRPr="00131A47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03D218AA" w14:textId="726D7B87" w:rsidR="0067002C" w:rsidRPr="00131A47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Извършените разходи по одобрената бюджетна линия се отчита</w:t>
            </w:r>
            <w:r w:rsidR="007C6E90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т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най-късно в срок от</w:t>
            </w:r>
            <w:r w:rsidR="00F60E29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: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6 месеца след приключване на съответната година</w:t>
            </w:r>
            <w:r w:rsidR="005F422B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F60E29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- </w:t>
            </w:r>
            <w:r w:rsidR="005F422B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при бюджетни линии</w:t>
            </w:r>
            <w:r w:rsidR="007047DA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със срок за изпълнение</w:t>
            </w:r>
            <w:r w:rsidR="005F422B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повече от една година и</w:t>
            </w:r>
            <w:r w:rsidR="00F60E29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ли</w:t>
            </w:r>
            <w:r w:rsidR="005F422B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F60E29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6 месеца </w:t>
            </w:r>
            <w:r w:rsidR="005F422B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след приключване на бюджетната линия </w:t>
            </w:r>
            <w:r w:rsidR="00F60E29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-</w:t>
            </w:r>
            <w:r w:rsidR="00EC3C72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5F422B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при бюджетни линии </w:t>
            </w:r>
            <w:r w:rsidR="007047DA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със срок за изпълнение</w:t>
            </w:r>
            <w:r w:rsidR="005F422B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една година</w:t>
            </w:r>
            <w:r w:rsidR="001D581A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, но не по-късно от 10 ноември 2023</w:t>
            </w:r>
            <w:r w:rsidR="00EC3C72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1D581A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г.</w:t>
            </w:r>
          </w:p>
          <w:p w14:paraId="66BD8F7D" w14:textId="77777777" w:rsidR="00AD1A98" w:rsidRPr="00131A47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1136A972" w14:textId="1BB0E5ED" w:rsidR="00AD1A98" w:rsidRPr="00131A47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Разходите за дейностите по подточка 1.2., 3.1. и 3.3., по които ползвател е УО, се изплащат от </w:t>
            </w:r>
            <w:r w:rsidR="00EC3C72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МЗХГ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EC3C72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ред, </w:t>
            </w:r>
            <w:r w:rsidR="00507A08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утвърден</w:t>
            </w:r>
            <w:r w:rsidR="00131A47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 xml:space="preserve"> </w:t>
            </w:r>
            <w:r w:rsidR="00EC3C72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със заповед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министъра на земеделието, храните и горите и след представяне и одобрение на отчет от съответното лице за извършената дейност, както и/или разходооправдателни документи.</w:t>
            </w:r>
          </w:p>
          <w:p w14:paraId="790F37A1" w14:textId="77777777" w:rsidR="00AD1A98" w:rsidRPr="00131A47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57D604B0" w14:textId="07533292" w:rsidR="00524454" w:rsidRPr="00131A47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Разходите за дейности по подточка 1.2., 3.1.</w:t>
            </w:r>
            <w:r w:rsidR="00507A08"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3.3., по които ползвател е ДФЗ- РА, се изплащат от ДФЗ- РА, по ред, одобрен от изпълнителния директор на ДФЗ- РА, и след представяне на отчет от съответното лице за извършената дейност, както и/или разходооправдателни документи.</w:t>
            </w:r>
          </w:p>
          <w:p w14:paraId="4EC29267" w14:textId="77777777" w:rsidR="00524454" w:rsidRPr="00131A47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60BBC307" w14:textId="0F5A6B1C" w:rsidR="003E6874" w:rsidRPr="00131A47" w:rsidRDefault="00524454" w:rsidP="006D79F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 мярка 20 „Техническа помощ” се извършва re-performance, </w:t>
            </w:r>
            <w:r w:rsidR="00F60E29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представляващ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 </w:t>
            </w:r>
            <w:r w:rsidR="006D79F1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спазването на условията за предоставяне на помощта, включително сключването на договорите, съгласно Глава I </w:t>
            </w:r>
            <w:r w:rsidR="006D79F1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Разплащателни агенции и други органи</w:t>
            </w:r>
            <w:r w:rsidR="006D79F1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</w:t>
            </w:r>
            <w:r w:rsidR="006D79F1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чл.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1 </w:t>
            </w:r>
            <w:r w:rsidR="006D79F1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Условия за акредитиране на разплащателните агенции</w:t>
            </w:r>
            <w:r w:rsidR="006D79F1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от </w:t>
            </w:r>
            <w:r w:rsidR="006D79F1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Делегиран регламент (ЕС) № 907/2014 на Комисията от 11 март 2014 година за допълнение на Регламент (ЕС) № 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 L 255, 28.8.2014 г.)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Конкретните проверки свързани с re-performance са имплементирани в контролните листа приложими за мярката.</w:t>
            </w:r>
            <w:r w:rsidRPr="00131A47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Проверката за съответствие с критериите за финансиране на заявки, съдържащи дейности, обект на обществена поръчка включва проверка на представената със заявката за плащане документация съгласно ЗОП в зависимост от вида на проведената обществена поръчка за избор на изпълнител за дейности. При заявки за плащане, съдържащи дейности обект на обществена поръчка, при извършване на проверката за съответствие с критериите за финансиране се извършва и проверка на процедурата за отпускане на помощи, както и тяхното съответствие с </w:t>
            </w:r>
            <w:r w:rsidR="00594C7E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приложимите актове на Европейския съюз</w:t>
            </w:r>
            <w:r w:rsidR="009F39FD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(ЕС)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. </w:t>
            </w:r>
            <w:bookmarkEnd w:id="2"/>
          </w:p>
          <w:p w14:paraId="19775CB3" w14:textId="182C5476" w:rsidR="003E6874" w:rsidRPr="00131A47" w:rsidRDefault="003E6874" w:rsidP="00F60E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highlight w:val="yellow"/>
                <w:lang w:val="bg-BG" w:eastAsia="bg-BG"/>
              </w:rPr>
            </w:pPr>
          </w:p>
        </w:tc>
      </w:tr>
      <w:tr w:rsidR="00524454" w:rsidRPr="00131A47" w14:paraId="6582E570" w14:textId="77777777" w:rsidTr="0011572A">
        <w:tc>
          <w:tcPr>
            <w:tcW w:w="9212" w:type="dxa"/>
            <w:shd w:val="clear" w:color="auto" w:fill="auto"/>
          </w:tcPr>
          <w:p w14:paraId="7DBF63E8" w14:textId="77777777" w:rsidR="002C17A3" w:rsidRPr="00131A47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50F77B71" w14:textId="3FE2FCE4" w:rsidR="002C17A3" w:rsidRPr="00131A47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Ползвателите на помощта съхраняват копия на всички документи (където е приложимо в оригинал), за срок </w:t>
            </w:r>
            <w:r w:rsidR="00E07C60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от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пет години от датата на извършване на окончателното плащане на финансовата помощ по съответната бюджетна линия.</w:t>
            </w:r>
          </w:p>
          <w:p w14:paraId="1BE2C3EC" w14:textId="2A7D883D" w:rsidR="002C17A3" w:rsidRPr="00131A47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663FBFE7" w14:textId="77777777" w:rsidR="0020285E" w:rsidRPr="00131A47" w:rsidRDefault="0020285E" w:rsidP="00524454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3" w:name="_Toc504657806"/>
    </w:p>
    <w:p w14:paraId="69A8D612" w14:textId="77777777" w:rsidR="00524454" w:rsidRPr="00131A47" w:rsidRDefault="00524454" w:rsidP="00524454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r w:rsidRPr="00131A47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t>Б. Мерки за информиране и публичност: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131A47" w14:paraId="7AD28AC6" w14:textId="77777777" w:rsidTr="0011572A">
        <w:tc>
          <w:tcPr>
            <w:tcW w:w="9212" w:type="dxa"/>
            <w:shd w:val="clear" w:color="auto" w:fill="auto"/>
          </w:tcPr>
          <w:p w14:paraId="0D296F52" w14:textId="77777777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09A05D28" w14:textId="021A63EE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Публичността за дейностите, които не са обект на обществена поръчка, се осъществява, като ежегодно до 30 април УО публикува на електронната страница на ПРСР 2014 - 2020 г. следната информация за всеки одобрен проект по мярка "Техническа помощ" от ПРСР (2014 - 2020 г.) за предходната финансова година:</w:t>
            </w:r>
          </w:p>
          <w:p w14:paraId="68227C21" w14:textId="77777777" w:rsidR="00524454" w:rsidRPr="00131A47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наименование на ползвателя на помощта;</w:t>
            </w:r>
          </w:p>
          <w:p w14:paraId="0E00EB76" w14:textId="77777777" w:rsidR="00524454" w:rsidRPr="00131A47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вид на подпомаганите дейности и наименование на проекта;</w:t>
            </w:r>
          </w:p>
          <w:p w14:paraId="5455CFCE" w14:textId="77777777" w:rsidR="00524454" w:rsidRPr="00131A47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общ размер на одобрената финансова помощ за периода;</w:t>
            </w:r>
          </w:p>
          <w:p w14:paraId="7B11E5AD" w14:textId="4978529D" w:rsidR="00524454" w:rsidRPr="00131A47" w:rsidRDefault="00E07C60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препращане </w:t>
            </w:r>
            <w:r w:rsidR="00524454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към електронната страница, където е публикуван резултатът от дейността, когато това е възможно.</w:t>
            </w:r>
          </w:p>
          <w:p w14:paraId="78A527DD" w14:textId="77777777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72F7399A" w14:textId="280630DF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Публичността за дейностите, които са обект на обществена поръчка, се осъществява чрез прилагане на разпоредбите на </w:t>
            </w:r>
            <w:r w:rsidR="00E07C6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ЗОП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Вътрешните правила за поддържане на профила на купувача</w:t>
            </w:r>
            <w:r w:rsidR="00E07C6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утвърдени със Заповед № РД 09-861 от 12.11.2015 г. на министъра на земеделието и храните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</w:p>
          <w:p w14:paraId="1169AD94" w14:textId="77777777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E34B825" w14:textId="26E7264D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Публикациите-книжки, брошури, листовки, списания, вестници и други, и постерите за мерки и дейности, съфинансирани от </w:t>
            </w:r>
            <w:r w:rsidR="008D6F8F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Европейския земеделски фонд за развитие на селските райони (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ЕЗФРСР</w:t>
            </w:r>
            <w:r w:rsidR="008D6F8F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съдържат на заглавната си страница ясна индикация за участието на </w:t>
            </w:r>
            <w:r w:rsidR="009F39FD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ЕС, както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неговата емблема. В публикациите се съдържа информация за органа, отговорен за съдържанието на информацията, както и за УО, отговорни за прилагане на помощта от ЕЗФРСР. Изискването се прилага и за информацията, разпространявана чрез електронни средства/медии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- уебсайтове, бази данни за потенциални участници или като аудио-визуален материал.</w:t>
            </w:r>
          </w:p>
          <w:p w14:paraId="678931D0" w14:textId="77777777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548F89E" w14:textId="1B64EB58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Електронните страници, които съдържат информация за ПРСР 2014-2020 г./ЕЗФРСР, трябва да: </w:t>
            </w:r>
          </w:p>
          <w:p w14:paraId="2B768923" w14:textId="77777777" w:rsidR="00524454" w:rsidRPr="00131A47" w:rsidRDefault="00524454" w:rsidP="00524454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информират за приноса на ЕЗФРСР най-малко на заглавната си страница;</w:t>
            </w:r>
          </w:p>
          <w:p w14:paraId="7D77BEFB" w14:textId="77777777" w:rsidR="00524454" w:rsidRPr="00131A47" w:rsidRDefault="00524454" w:rsidP="00524454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включват препратка към електронната страница на Европейската комисия, отнасяща се до ЕЗФРСР.</w:t>
            </w:r>
          </w:p>
          <w:p w14:paraId="75E69705" w14:textId="77777777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2A3C9421" w14:textId="77777777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Всяка дейност за информиране и публичност, информационна табела, билборд съдържа следните елементи:</w:t>
            </w:r>
          </w:p>
          <w:p w14:paraId="710B6C75" w14:textId="3657C0A0" w:rsidR="00524454" w:rsidRPr="00131A47" w:rsidRDefault="00524454" w:rsidP="00C23D3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Емблемата на 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заедно с упоменаване на 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ЕС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 съответствие с техническите характеристики, предвидени в Приложение  ІІІ към чл.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13 от Регламент за изпълнение (ЕС) № 808/2014 на Комисията от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17 юли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 (ОВ,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L 227от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31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.7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г.)и съгласно Приложение № XII от Регламент (ЕС) № 1303/2013 г.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г. на Съвета (ОВ L 347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20</w:t>
            </w:r>
            <w:r w:rsidR="00C23D30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.12.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2013 г.)</w:t>
            </w:r>
            <w:r w:rsidR="00192D08"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(Регламент (ЕС) № 1303/2013 г.)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като се използват следните думи: "Европейски земеделски фонд за развитие на </w:t>
            </w: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lastRenderedPageBreak/>
              <w:t>селските райони: Европа инвестира в селските райони";</w:t>
            </w:r>
          </w:p>
          <w:p w14:paraId="5E4CC6BA" w14:textId="21A166E1" w:rsidR="00524454" w:rsidRPr="00131A47" w:rsidRDefault="00524454" w:rsidP="0052445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За дейностите и мерките, финансирани по подхода ЛИДЕР от ПРСР 2014 - 2020 г., се използва също и логото на ЛИДЕР.</w:t>
            </w:r>
          </w:p>
          <w:p w14:paraId="4270C215" w14:textId="77777777" w:rsidR="00524454" w:rsidRPr="00131A47" w:rsidRDefault="00524454" w:rsidP="00524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7A22C463" w14:textId="77777777" w:rsidR="00524454" w:rsidRPr="00131A47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4" w:name="_Toc504657807"/>
      <w:r w:rsidRPr="00131A47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В. Приложения към Условията за изпълнение: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131A47" w14:paraId="2731BDF4" w14:textId="77777777" w:rsidTr="0011572A">
        <w:tc>
          <w:tcPr>
            <w:tcW w:w="9212" w:type="dxa"/>
            <w:shd w:val="clear" w:color="auto" w:fill="auto"/>
          </w:tcPr>
          <w:p w14:paraId="22D510EA" w14:textId="4964682B" w:rsidR="00524454" w:rsidRPr="00131A47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bg-BG" w:eastAsia="bg-BG"/>
              </w:rPr>
            </w:pPr>
          </w:p>
          <w:p w14:paraId="62F699BA" w14:textId="77777777" w:rsidR="00524454" w:rsidRPr="00131A47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 Документи за междинно и окончателно плащане.</w:t>
            </w:r>
          </w:p>
          <w:p w14:paraId="1FDC7CB1" w14:textId="5A4EECD3" w:rsidR="00591A3C" w:rsidRPr="00131A47" w:rsidRDefault="00591A3C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1а Документи за меж</w:t>
            </w:r>
            <w:r w:rsid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динн</w:t>
            </w:r>
            <w:bookmarkStart w:id="5" w:name="_GoBack"/>
            <w:bookmarkEnd w:id="5"/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о и окончателно плащане в случай, че не са представени разходооправдателни документи</w:t>
            </w:r>
          </w:p>
          <w:p w14:paraId="70D3A294" w14:textId="55DE3CAC" w:rsidR="00524454" w:rsidRPr="00131A47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2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Декларация за възстановени разходи.</w:t>
            </w:r>
          </w:p>
          <w:p w14:paraId="0210F038" w14:textId="49CA6A60" w:rsidR="00524454" w:rsidRPr="00131A47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3</w:t>
            </w:r>
            <w:r w:rsidRPr="00131A47">
              <w:rPr>
                <w:rFonts w:ascii="Calibri" w:eastAsia="Times New Roman" w:hAnsi="Calibri" w:cs="Times New Roman"/>
                <w:lang w:val="bg-BG" w:eastAsia="bg-BG"/>
              </w:rPr>
              <w:t xml:space="preserve">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Декларация за размера на възнагражденията.</w:t>
            </w:r>
          </w:p>
          <w:p w14:paraId="07F78CFE" w14:textId="08181E41" w:rsidR="008234BB" w:rsidRPr="00131A47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4 Декларация за нередности;</w:t>
            </w:r>
          </w:p>
          <w:p w14:paraId="3EE89915" w14:textId="253FF8F7" w:rsidR="008234BB" w:rsidRPr="00131A47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5 Декларация за </w:t>
            </w:r>
            <w:r w:rsidR="00D517B5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липса на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конфликт на интереси;</w:t>
            </w:r>
          </w:p>
          <w:p w14:paraId="58A84D06" w14:textId="2F8C58A2" w:rsidR="008234BB" w:rsidRPr="00131A47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6 Заповед за </w:t>
            </w:r>
            <w:r w:rsidR="00D517B5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предоставяне на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помощ;</w:t>
            </w:r>
          </w:p>
          <w:p w14:paraId="48971172" w14:textId="47F493AA" w:rsidR="00970BC7" w:rsidRPr="00131A47" w:rsidRDefault="008234BB" w:rsidP="00970B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7 Административен договор за предоставяне </w:t>
            </w:r>
            <w:r w:rsidR="00D517B5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</w:t>
            </w:r>
            <w:r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</w:t>
            </w:r>
            <w:r w:rsidR="000D0CD8" w:rsidRPr="00131A47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.</w:t>
            </w:r>
          </w:p>
          <w:p w14:paraId="5EDC4FE9" w14:textId="77777777" w:rsidR="00524454" w:rsidRPr="00131A47" w:rsidRDefault="00524454" w:rsidP="00524454">
            <w:pPr>
              <w:spacing w:after="0" w:line="240" w:lineRule="auto"/>
              <w:ind w:left="360"/>
              <w:jc w:val="both"/>
              <w:rPr>
                <w:rFonts w:ascii="Calibri" w:eastAsia="Times New Roman" w:hAnsi="Calibri" w:cs="Times New Roman"/>
                <w:lang w:val="bg-BG" w:eastAsia="bg-BG"/>
              </w:rPr>
            </w:pPr>
          </w:p>
          <w:p w14:paraId="44F286FF" w14:textId="77777777" w:rsidR="00524454" w:rsidRPr="00131A47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3A5100E6" w14:textId="77777777" w:rsidR="00524454" w:rsidRPr="00131A47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509C476D" w14:textId="77777777" w:rsidR="00524454" w:rsidRPr="00131A47" w:rsidRDefault="00524454" w:rsidP="00524454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bg-BG" w:eastAsia="en-GB"/>
        </w:rPr>
      </w:pPr>
    </w:p>
    <w:p w14:paraId="166D1291" w14:textId="77777777" w:rsidR="00610645" w:rsidRPr="00131A47" w:rsidRDefault="00610645">
      <w:pPr>
        <w:rPr>
          <w:lang w:val="bg-BG"/>
        </w:rPr>
      </w:pPr>
    </w:p>
    <w:sectPr w:rsidR="00610645" w:rsidRPr="00131A47" w:rsidSect="008E2A6B">
      <w:footerReference w:type="even" r:id="rId12"/>
      <w:footerReference w:type="default" r:id="rId13"/>
      <w:pgSz w:w="11906" w:h="16838"/>
      <w:pgMar w:top="900" w:right="1417" w:bottom="900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DC6476" w15:done="0"/>
  <w15:commentEx w15:paraId="2706E1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61E61" w14:textId="77777777" w:rsidR="003D188C" w:rsidRDefault="003D188C">
      <w:pPr>
        <w:spacing w:after="0" w:line="240" w:lineRule="auto"/>
      </w:pPr>
      <w:r>
        <w:separator/>
      </w:r>
    </w:p>
  </w:endnote>
  <w:endnote w:type="continuationSeparator" w:id="0">
    <w:p w14:paraId="1FC76BD6" w14:textId="77777777" w:rsidR="003D188C" w:rsidRDefault="003D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Unicode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0CCA6" w14:textId="77777777" w:rsidR="003C2612" w:rsidRDefault="00524454" w:rsidP="00301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77BF12" w14:textId="77777777" w:rsidR="003C2612" w:rsidRDefault="003D188C" w:rsidP="0030120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89A9A" w14:textId="136ECF43" w:rsidR="003C2612" w:rsidRDefault="00524454" w:rsidP="00CF38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1A47">
      <w:rPr>
        <w:rStyle w:val="PageNumber"/>
        <w:noProof/>
      </w:rPr>
      <w:t>5</w:t>
    </w:r>
    <w:r>
      <w:rPr>
        <w:rStyle w:val="PageNumber"/>
      </w:rPr>
      <w:fldChar w:fldCharType="end"/>
    </w:r>
  </w:p>
  <w:p w14:paraId="2A7FD3DF" w14:textId="77777777" w:rsidR="003C2612" w:rsidRPr="00E57BFA" w:rsidRDefault="003D188C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4"/>
        <w:szCs w:val="24"/>
      </w:rPr>
    </w:pPr>
  </w:p>
  <w:p w14:paraId="04EFE842" w14:textId="77777777" w:rsidR="003C2612" w:rsidRPr="0030120B" w:rsidRDefault="00524454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0"/>
        <w:lang w:val="en-US"/>
      </w:rPr>
    </w:pP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</w:p>
  <w:p w14:paraId="02ADE214" w14:textId="77777777" w:rsidR="003C2612" w:rsidRPr="0030120B" w:rsidRDefault="00524454" w:rsidP="0030120B">
    <w:pPr>
      <w:pStyle w:val="Footer"/>
      <w:ind w:right="360" w:firstLine="360"/>
      <w:jc w:val="right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sz w:val="24"/>
        <w:szCs w:val="24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8B781" w14:textId="77777777" w:rsidR="003D188C" w:rsidRDefault="003D188C">
      <w:pPr>
        <w:spacing w:after="0" w:line="240" w:lineRule="auto"/>
      </w:pPr>
      <w:r>
        <w:separator/>
      </w:r>
    </w:p>
  </w:footnote>
  <w:footnote w:type="continuationSeparator" w:id="0">
    <w:p w14:paraId="3774FA35" w14:textId="77777777" w:rsidR="003D188C" w:rsidRDefault="003D1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37F1"/>
    <w:multiLevelType w:val="multilevel"/>
    <w:tmpl w:val="8AF8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D40975"/>
    <w:multiLevelType w:val="multilevel"/>
    <w:tmpl w:val="F3C2F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2">
    <w:nsid w:val="18EF3B6C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3F6AE9"/>
    <w:multiLevelType w:val="multilevel"/>
    <w:tmpl w:val="5A7E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0CC2F78"/>
    <w:multiLevelType w:val="multilevel"/>
    <w:tmpl w:val="736448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24E14"/>
    <w:multiLevelType w:val="hybridMultilevel"/>
    <w:tmpl w:val="E878D584"/>
    <w:lvl w:ilvl="0" w:tplc="0402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>
    <w:nsid w:val="79E63776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7F604E55"/>
    <w:multiLevelType w:val="hybridMultilevel"/>
    <w:tmpl w:val="D6F64E14"/>
    <w:lvl w:ilvl="0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ya Slavyanova Dimitrova">
    <w15:presenceInfo w15:providerId="None" w15:userId="Vanya Slavyanova Dimitrova"/>
  </w15:person>
  <w15:person w15:author="Albena Georgieva Pinalska">
    <w15:presenceInfo w15:providerId="None" w15:userId="Albena Georgieva Pinalska"/>
  </w15:person>
  <w15:person w15:author="Diana Hristova Stamenova">
    <w15:presenceInfo w15:providerId="None" w15:userId="Diana Hristova Stame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ED"/>
    <w:rsid w:val="000465AE"/>
    <w:rsid w:val="00057BDA"/>
    <w:rsid w:val="00076E13"/>
    <w:rsid w:val="000D0CD8"/>
    <w:rsid w:val="00131A47"/>
    <w:rsid w:val="00185A5E"/>
    <w:rsid w:val="00192D08"/>
    <w:rsid w:val="001A3194"/>
    <w:rsid w:val="001A5318"/>
    <w:rsid w:val="001B0C59"/>
    <w:rsid w:val="001D581A"/>
    <w:rsid w:val="001D69CE"/>
    <w:rsid w:val="001F66E1"/>
    <w:rsid w:val="0020285E"/>
    <w:rsid w:val="00222819"/>
    <w:rsid w:val="002C17A3"/>
    <w:rsid w:val="003476FB"/>
    <w:rsid w:val="00371243"/>
    <w:rsid w:val="003938D0"/>
    <w:rsid w:val="003D188C"/>
    <w:rsid w:val="003E6874"/>
    <w:rsid w:val="004010CF"/>
    <w:rsid w:val="00433FF1"/>
    <w:rsid w:val="004370E3"/>
    <w:rsid w:val="004632C4"/>
    <w:rsid w:val="004702C9"/>
    <w:rsid w:val="004D343E"/>
    <w:rsid w:val="00507A08"/>
    <w:rsid w:val="00524454"/>
    <w:rsid w:val="00591A3C"/>
    <w:rsid w:val="00594C7E"/>
    <w:rsid w:val="005F422B"/>
    <w:rsid w:val="00610645"/>
    <w:rsid w:val="006523ED"/>
    <w:rsid w:val="00653AD2"/>
    <w:rsid w:val="0067002C"/>
    <w:rsid w:val="006D79F1"/>
    <w:rsid w:val="007047DA"/>
    <w:rsid w:val="007345FF"/>
    <w:rsid w:val="007427FE"/>
    <w:rsid w:val="00791BC8"/>
    <w:rsid w:val="007B14D6"/>
    <w:rsid w:val="007C6E90"/>
    <w:rsid w:val="008234BB"/>
    <w:rsid w:val="008932AA"/>
    <w:rsid w:val="008D6F8F"/>
    <w:rsid w:val="00970BC7"/>
    <w:rsid w:val="009D4741"/>
    <w:rsid w:val="009F39FD"/>
    <w:rsid w:val="00A62840"/>
    <w:rsid w:val="00AB2B6F"/>
    <w:rsid w:val="00AD1A98"/>
    <w:rsid w:val="00C23D30"/>
    <w:rsid w:val="00C35EA8"/>
    <w:rsid w:val="00C83124"/>
    <w:rsid w:val="00C95111"/>
    <w:rsid w:val="00D22794"/>
    <w:rsid w:val="00D517B5"/>
    <w:rsid w:val="00D77CD5"/>
    <w:rsid w:val="00D93BA6"/>
    <w:rsid w:val="00E02DAA"/>
    <w:rsid w:val="00E07C60"/>
    <w:rsid w:val="00E93551"/>
    <w:rsid w:val="00EC3C72"/>
    <w:rsid w:val="00F60E29"/>
    <w:rsid w:val="00F65895"/>
    <w:rsid w:val="00F82276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3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6EFA-C0F6-4064-A8CB-473CF042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P. Petrova</dc:creator>
  <cp:lastModifiedBy>Miroslav Pankov</cp:lastModifiedBy>
  <cp:revision>4</cp:revision>
  <dcterms:created xsi:type="dcterms:W3CDTF">2018-02-12T13:53:00Z</dcterms:created>
  <dcterms:modified xsi:type="dcterms:W3CDTF">2018-02-23T10:49:00Z</dcterms:modified>
</cp:coreProperties>
</file>